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107A0" w14:textId="060010C3" w:rsidR="00B02D18" w:rsidRPr="00B31E68" w:rsidRDefault="00B02D18" w:rsidP="00AE067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31E68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1E3758" w:rsidRPr="00B31E68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B31E68">
        <w:rPr>
          <w:rFonts w:ascii="Times New Roman" w:hAnsi="Times New Roman" w:cs="Times New Roman"/>
          <w:b/>
          <w:bCs/>
          <w:sz w:val="20"/>
          <w:szCs w:val="20"/>
        </w:rPr>
        <w:t xml:space="preserve">  - Symptomy krzywdzenia dziecka </w:t>
      </w:r>
    </w:p>
    <w:p w14:paraId="618C1FE0" w14:textId="77777777" w:rsidR="001E3758" w:rsidRPr="00B31E68" w:rsidRDefault="001E3758" w:rsidP="00AE0676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BF46B7B" w14:textId="56025132" w:rsidR="00AE0676" w:rsidRPr="00B31E68" w:rsidRDefault="00AE0676" w:rsidP="001E3758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1E68">
        <w:rPr>
          <w:rFonts w:ascii="Times New Roman" w:hAnsi="Times New Roman" w:cs="Times New Roman"/>
          <w:b/>
          <w:bCs/>
          <w:sz w:val="20"/>
          <w:szCs w:val="20"/>
        </w:rPr>
        <w:t>SYMPTOMY – NA CO ZWRÓCIĆ UWAGĘ?</w:t>
      </w:r>
    </w:p>
    <w:p w14:paraId="720174C9" w14:textId="2C7A01DE" w:rsidR="00AE0676" w:rsidRPr="00B31E68" w:rsidRDefault="00AE0676" w:rsidP="00B31E6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Obserwując dziecko i analizując poniższe symptomy pamiętaj o ocenie kontekstowej: zwróć uwagę nie tylko na symptomy fizyczne, ale także zachowanie dziecka i rodzica/opiekuna, sytuację dziecka (wiek, kondycja, sytuacja rodzinna, bytowa itd.), postawione wcześniej rozpoznania i diagnozy itd.)</w:t>
      </w:r>
    </w:p>
    <w:p w14:paraId="3D541AF3" w14:textId="77777777" w:rsidR="00AE0676" w:rsidRPr="00B31E68" w:rsidRDefault="00AE0676" w:rsidP="00AE0676">
      <w:pPr>
        <w:rPr>
          <w:rFonts w:ascii="Times New Roman" w:hAnsi="Times New Roman" w:cs="Times New Roman"/>
          <w:sz w:val="20"/>
          <w:szCs w:val="20"/>
        </w:rPr>
      </w:pPr>
    </w:p>
    <w:p w14:paraId="3CEA2D0B" w14:textId="77777777" w:rsidR="00AE0676" w:rsidRPr="00B31E68" w:rsidRDefault="00AE0676" w:rsidP="00AE067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31E68">
        <w:rPr>
          <w:rFonts w:ascii="Times New Roman" w:hAnsi="Times New Roman" w:cs="Times New Roman"/>
          <w:b/>
          <w:bCs/>
          <w:sz w:val="20"/>
          <w:szCs w:val="20"/>
        </w:rPr>
        <w:t xml:space="preserve">Najczęściej obserwowane </w:t>
      </w:r>
      <w:r w:rsidRPr="00B31E68">
        <w:rPr>
          <w:rFonts w:ascii="Times New Roman" w:hAnsi="Times New Roman" w:cs="Times New Roman"/>
          <w:b/>
          <w:bCs/>
          <w:sz w:val="20"/>
          <w:szCs w:val="20"/>
          <w:u w:val="single"/>
        </w:rPr>
        <w:t>oznaki fizyczne</w:t>
      </w:r>
      <w:r w:rsidRPr="00B31E68">
        <w:rPr>
          <w:rFonts w:ascii="Times New Roman" w:hAnsi="Times New Roman" w:cs="Times New Roman"/>
          <w:b/>
          <w:bCs/>
          <w:sz w:val="20"/>
          <w:szCs w:val="20"/>
        </w:rPr>
        <w:t xml:space="preserve"> możliwego krzywdzenia dziecka</w:t>
      </w:r>
    </w:p>
    <w:p w14:paraId="6083D9DC" w14:textId="110A3A04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Widoczne obrażenia ciała, których pochodzenie trudno wyjaśnić i/lub które występują w miejscach przykrytych ubraniem i/lub u dziecka, które nie porusza się samodzielnie.</w:t>
      </w:r>
    </w:p>
    <w:p w14:paraId="519A29F4" w14:textId="1DB3504A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Rany, otarcia, blizny, sińce, stłuczenia w miejscach nietypowych dla przypadkowych urazów: plecy, pośladki, ramiona, uda, brzuch, krocze i stopy, okolica oczodołów (bez urazu czoła), policzki, usta, skroń, szyja, uszy.</w:t>
      </w:r>
    </w:p>
    <w:p w14:paraId="22485B9F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Urazy na więcej niż jednej płaszczyźnie kończyny, głowy, tułowia.</w:t>
      </w:r>
    </w:p>
    <w:p w14:paraId="4CEF9E67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Ślady mają charakterystyczny kształt odcisku dłoni, palców, przedmiotów, szczypania, drapania, gryzienia, duszenia.</w:t>
      </w:r>
    </w:p>
    <w:p w14:paraId="1F9CC5BD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Siniaki okularowe, sińce liczne, często symetryczne, w różnej fazie gojenia.</w:t>
      </w:r>
    </w:p>
    <w:p w14:paraId="5C5AA1D9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 xml:space="preserve">• Urazy głowy u dzieci poniżej 3 </w:t>
      </w:r>
      <w:proofErr w:type="spellStart"/>
      <w:r w:rsidRPr="00B31E68">
        <w:rPr>
          <w:rFonts w:ascii="Times New Roman" w:hAnsi="Times New Roman" w:cs="Times New Roman"/>
          <w:sz w:val="20"/>
          <w:szCs w:val="20"/>
        </w:rPr>
        <w:t>rż</w:t>
      </w:r>
      <w:proofErr w:type="spellEnd"/>
      <w:r w:rsidRPr="00B31E68">
        <w:rPr>
          <w:rFonts w:ascii="Times New Roman" w:hAnsi="Times New Roman" w:cs="Times New Roman"/>
          <w:sz w:val="20"/>
          <w:szCs w:val="20"/>
        </w:rPr>
        <w:t>.</w:t>
      </w:r>
    </w:p>
    <w:p w14:paraId="45FC34B8" w14:textId="5F86423B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Okrągłe punktowe poparzenia, oparzenia na plecach i pośladkach u małych dzieci, na grzbietowej powierzchni dłoni, rękawiczkowe/ skarpetkowe.</w:t>
      </w:r>
    </w:p>
    <w:p w14:paraId="6AD11509" w14:textId="072EC770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 xml:space="preserve">• Złamania u dzieci poniżej 3 </w:t>
      </w:r>
      <w:proofErr w:type="spellStart"/>
      <w:r w:rsidRPr="00B31E68">
        <w:rPr>
          <w:rFonts w:ascii="Times New Roman" w:hAnsi="Times New Roman" w:cs="Times New Roman"/>
          <w:sz w:val="20"/>
          <w:szCs w:val="20"/>
        </w:rPr>
        <w:t>rż</w:t>
      </w:r>
      <w:proofErr w:type="spellEnd"/>
      <w:r w:rsidRPr="00B31E68">
        <w:rPr>
          <w:rFonts w:ascii="Times New Roman" w:hAnsi="Times New Roman" w:cs="Times New Roman"/>
          <w:sz w:val="20"/>
          <w:szCs w:val="20"/>
        </w:rPr>
        <w:t>., złamania kości kończyny górnej u dziecka niechodzącego, złamania spiralne, złamania dystalne, złamania żeber, złamania bez urazu lub po urazie nieadekwatnym np. upadek z kanapy.</w:t>
      </w:r>
    </w:p>
    <w:p w14:paraId="7220F42D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Obrażenia w obrębie jamy ustnej: zasinienia śluzówek warg górnych i dziąseł z rozdarciem wędzidełka.</w:t>
      </w:r>
    </w:p>
    <w:p w14:paraId="4B7AA0C4" w14:textId="31A27EC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Stłuczenia i skaleczenia warg, dna jamy ustnej i języka w wyniku prób karmienia na siłę, wpychania smoczka etc., urazy kącików ust, krwioplucie i krwawe wymioty, bezpośrednie urazy podniebienia miękkiego, tylnej ściany gardła, złamania zębów, uszkodzenia dziąseł, złamanie żuchwy.</w:t>
      </w:r>
    </w:p>
    <w:p w14:paraId="3A766974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Urazy nosa, złamania, krwiaki (zropiałe) przegrody nosa.</w:t>
      </w:r>
    </w:p>
    <w:p w14:paraId="6BB85058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Wielokrotne „przypadkowe” zatrucia, niewyjaśnione nieżyty żołądkowo jelitowe.</w:t>
      </w:r>
    </w:p>
    <w:p w14:paraId="18EF2B92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Odmrożenia, hipotermia.</w:t>
      </w:r>
    </w:p>
    <w:p w14:paraId="2A672D39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Słaby przyrost masy ciała, niedożywienie.</w:t>
      </w:r>
    </w:p>
    <w:p w14:paraId="147E22A0" w14:textId="77777777" w:rsidR="00AE0676" w:rsidRPr="00B31E68" w:rsidRDefault="00AE0676" w:rsidP="00AE0676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33EAB7D" w14:textId="491F20D9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1E68">
        <w:rPr>
          <w:rFonts w:ascii="Times New Roman" w:hAnsi="Times New Roman" w:cs="Times New Roman"/>
          <w:b/>
          <w:bCs/>
          <w:sz w:val="20"/>
          <w:szCs w:val="20"/>
        </w:rPr>
        <w:t xml:space="preserve">Najczęściej obserwowane symptomy i objawy związane z </w:t>
      </w:r>
      <w:r w:rsidRPr="00B31E68">
        <w:rPr>
          <w:rFonts w:ascii="Times New Roman" w:hAnsi="Times New Roman" w:cs="Times New Roman"/>
          <w:b/>
          <w:bCs/>
          <w:sz w:val="20"/>
          <w:szCs w:val="20"/>
          <w:u w:val="single"/>
        </w:rPr>
        <w:t>wykorzystywaniem seksualnym</w:t>
      </w:r>
      <w:r w:rsidR="001E3758" w:rsidRPr="00B31E68">
        <w:rPr>
          <w:rFonts w:ascii="Times New Roman" w:hAnsi="Times New Roman" w:cs="Times New Roman"/>
          <w:b/>
          <w:bCs/>
          <w:sz w:val="20"/>
          <w:szCs w:val="20"/>
          <w:u w:val="single"/>
        </w:rPr>
        <w:t>:</w:t>
      </w:r>
    </w:p>
    <w:p w14:paraId="2645B4B3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Uporczywe i/lub nawracające objawy (np. krwawienie, nieprawidłowa wydzielina, ból, dyskomfort) ze strony odbytu/narządów płciowych bez wyjaśnienia medycznego.</w:t>
      </w:r>
    </w:p>
    <w:p w14:paraId="5B320C25" w14:textId="4A3BEF4F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 xml:space="preserve">• Ślady obecności ciała obcego w pochwie lub odbycie. Objawem wskazującym na ciało obce </w:t>
      </w:r>
      <w:r w:rsidR="001E3758" w:rsidRPr="00B31E68">
        <w:rPr>
          <w:rFonts w:ascii="Times New Roman" w:hAnsi="Times New Roman" w:cs="Times New Roman"/>
          <w:sz w:val="20"/>
          <w:szCs w:val="20"/>
        </w:rPr>
        <w:br/>
      </w:r>
      <w:r w:rsidRPr="00B31E68">
        <w:rPr>
          <w:rFonts w:ascii="Times New Roman" w:hAnsi="Times New Roman" w:cs="Times New Roman"/>
          <w:sz w:val="20"/>
          <w:szCs w:val="20"/>
        </w:rPr>
        <w:t>w pochwie może być obfita wydzielina.</w:t>
      </w:r>
    </w:p>
    <w:p w14:paraId="3A87432A" w14:textId="63DAD6F4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 xml:space="preserve">• Infekcja chorobami przenoszonymi drogą płciową u dziecka poniżej 15 </w:t>
      </w:r>
      <w:proofErr w:type="spellStart"/>
      <w:r w:rsidRPr="00B31E68">
        <w:rPr>
          <w:rFonts w:ascii="Times New Roman" w:hAnsi="Times New Roman" w:cs="Times New Roman"/>
          <w:sz w:val="20"/>
          <w:szCs w:val="20"/>
        </w:rPr>
        <w:t>rż</w:t>
      </w:r>
      <w:proofErr w:type="spellEnd"/>
      <w:r w:rsidRPr="00B31E68">
        <w:rPr>
          <w:rFonts w:ascii="Times New Roman" w:hAnsi="Times New Roman" w:cs="Times New Roman"/>
          <w:sz w:val="20"/>
          <w:szCs w:val="20"/>
        </w:rPr>
        <w:t>.</w:t>
      </w:r>
    </w:p>
    <w:p w14:paraId="722865B1" w14:textId="785898AA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Infekcja wirusem HBV (</w:t>
      </w:r>
      <w:proofErr w:type="spellStart"/>
      <w:r w:rsidRPr="00B31E68">
        <w:rPr>
          <w:rFonts w:ascii="Times New Roman" w:hAnsi="Times New Roman" w:cs="Times New Roman"/>
          <w:sz w:val="20"/>
          <w:szCs w:val="20"/>
        </w:rPr>
        <w:t>hepatitis</w:t>
      </w:r>
      <w:proofErr w:type="spellEnd"/>
      <w:r w:rsidRPr="00B31E68">
        <w:rPr>
          <w:rFonts w:ascii="Times New Roman" w:hAnsi="Times New Roman" w:cs="Times New Roman"/>
          <w:sz w:val="20"/>
          <w:szCs w:val="20"/>
        </w:rPr>
        <w:t xml:space="preserve"> B), brodawki wirusowe narządów płciowych (kłykciny kończyste) </w:t>
      </w:r>
      <w:r w:rsidR="001E3758" w:rsidRPr="00B31E68">
        <w:rPr>
          <w:rFonts w:ascii="Times New Roman" w:hAnsi="Times New Roman" w:cs="Times New Roman"/>
          <w:sz w:val="20"/>
          <w:szCs w:val="20"/>
        </w:rPr>
        <w:br/>
      </w:r>
      <w:r w:rsidRPr="00B31E68">
        <w:rPr>
          <w:rFonts w:ascii="Times New Roman" w:hAnsi="Times New Roman" w:cs="Times New Roman"/>
          <w:sz w:val="20"/>
          <w:szCs w:val="20"/>
        </w:rPr>
        <w:t xml:space="preserve">u dziecka poniżej 15 </w:t>
      </w:r>
      <w:proofErr w:type="spellStart"/>
      <w:r w:rsidRPr="00B31E68">
        <w:rPr>
          <w:rFonts w:ascii="Times New Roman" w:hAnsi="Times New Roman" w:cs="Times New Roman"/>
          <w:sz w:val="20"/>
          <w:szCs w:val="20"/>
        </w:rPr>
        <w:t>rż</w:t>
      </w:r>
      <w:proofErr w:type="spellEnd"/>
      <w:r w:rsidRPr="00B31E68">
        <w:rPr>
          <w:rFonts w:ascii="Times New Roman" w:hAnsi="Times New Roman" w:cs="Times New Roman"/>
          <w:sz w:val="20"/>
          <w:szCs w:val="20"/>
        </w:rPr>
        <w:t>. o ile wykluczono transmisję okołoporodową, nie seksualną transmisję od osoby mieszkającej w tym samym gospodarstwie domowym,</w:t>
      </w:r>
    </w:p>
    <w:p w14:paraId="1620703C" w14:textId="7BF75B64" w:rsidR="00C43E6E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lastRenderedPageBreak/>
        <w:t>• Infekcja chorobami przenoszonymi drogą płciową</w:t>
      </w:r>
    </w:p>
    <w:p w14:paraId="175FCD2B" w14:textId="77777777" w:rsidR="00AE0676" w:rsidRPr="00B31E68" w:rsidRDefault="00AE0676" w:rsidP="00AE0676">
      <w:pPr>
        <w:rPr>
          <w:rFonts w:ascii="Times New Roman" w:hAnsi="Times New Roman" w:cs="Times New Roman"/>
          <w:sz w:val="20"/>
          <w:szCs w:val="20"/>
        </w:rPr>
      </w:pPr>
    </w:p>
    <w:p w14:paraId="10DB213A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31E68">
        <w:rPr>
          <w:rFonts w:ascii="Times New Roman" w:hAnsi="Times New Roman" w:cs="Times New Roman"/>
          <w:b/>
          <w:bCs/>
          <w:sz w:val="20"/>
          <w:szCs w:val="20"/>
        </w:rPr>
        <w:t>ZACHOWANIA, KTÓRE MOGĄ BYĆ SYGNAŁEM, ŻE DZIECKO JEST KRZYWDZONE</w:t>
      </w:r>
    </w:p>
    <w:p w14:paraId="7CF41D8D" w14:textId="77777777" w:rsidR="001E3758" w:rsidRPr="00B31E68" w:rsidRDefault="001E3758" w:rsidP="001E3758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1966E36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31E68">
        <w:rPr>
          <w:rFonts w:ascii="Times New Roman" w:hAnsi="Times New Roman" w:cs="Times New Roman"/>
          <w:b/>
          <w:bCs/>
          <w:sz w:val="20"/>
          <w:szCs w:val="20"/>
          <w:u w:val="single"/>
        </w:rPr>
        <w:t>Na jakie zachowania ZE STRONY DZIECKA warto zwrócić uwagę:</w:t>
      </w:r>
    </w:p>
    <w:p w14:paraId="2ADB6752" w14:textId="5BFA4826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Wyraźna zmiana w zachowaniu dziecka – wycofanie, zobojętnienie, lub nadmierne pobudzenie, trudność w regulacji emocji, którą trudno wyjaśnić stanem zdrowia czy okolicznościami.</w:t>
      </w:r>
    </w:p>
    <w:p w14:paraId="3E17759A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Dziecko zachowuje się w spo</w:t>
      </w:r>
      <w:bookmarkStart w:id="0" w:name="_GoBack"/>
      <w:bookmarkEnd w:id="0"/>
      <w:r w:rsidRPr="00B31E68">
        <w:rPr>
          <w:rFonts w:ascii="Times New Roman" w:hAnsi="Times New Roman" w:cs="Times New Roman"/>
          <w:sz w:val="20"/>
          <w:szCs w:val="20"/>
        </w:rPr>
        <w:t>sób nieadekwatny do wieku, jest zbyt infantylne lub nadmiernie dojrzałe.</w:t>
      </w:r>
    </w:p>
    <w:p w14:paraId="2507735B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Wyraźnie inne zachowanie w obecności rodzica/opiekuna, niż w obecności innych osób.</w:t>
      </w:r>
    </w:p>
    <w:p w14:paraId="29E13ECE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Dziecko boi się rodzica/opiekuna.</w:t>
      </w:r>
    </w:p>
    <w:p w14:paraId="41332905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Długotrwały, silny, niemożliwy do ukojenia płacz.</w:t>
      </w:r>
    </w:p>
    <w:p w14:paraId="62B989E5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Opóźnienie w rozwoju fizycznym lub emocjonalnym.</w:t>
      </w:r>
    </w:p>
    <w:p w14:paraId="02EBF14F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Strach przed określonymi osobami, sytuacjami, miejscami i nasilony niepokój.</w:t>
      </w:r>
    </w:p>
    <w:p w14:paraId="30951261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Problemy ze snem, koszmary, lęk przed zasypianiem.</w:t>
      </w:r>
    </w:p>
    <w:p w14:paraId="61EEF34C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Moczenie, moczenie nocne, zanieczyszczanie kałem.</w:t>
      </w:r>
    </w:p>
    <w:p w14:paraId="26F89635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Zaburzenia jedzenia, odmowa jedzenia lub nadmierne objadanie się, wymioty.</w:t>
      </w:r>
    </w:p>
    <w:p w14:paraId="29A742CD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Powtarzające się lub przymusowe zachowania seksualne.</w:t>
      </w:r>
    </w:p>
    <w:p w14:paraId="5CF0E9E7" w14:textId="683A1218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Dziwne lub nieadekwatne do wieku zainteresowanie seksem (np. dziecko jest nadmiernie rozbudzone, dużo mówi o seksie, używa zbyt dorosłego lub wulgarnego słownictwa, wykazuje znajomość szczegółów związanych z aktywnością seksualną).</w:t>
      </w:r>
    </w:p>
    <w:p w14:paraId="4BAA4C15" w14:textId="0DBDDA04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 xml:space="preserve">• Przejawy </w:t>
      </w:r>
      <w:proofErr w:type="spellStart"/>
      <w:r w:rsidRPr="00B31E68">
        <w:rPr>
          <w:rFonts w:ascii="Times New Roman" w:hAnsi="Times New Roman" w:cs="Times New Roman"/>
          <w:sz w:val="20"/>
          <w:szCs w:val="20"/>
        </w:rPr>
        <w:t>zachowań</w:t>
      </w:r>
      <w:proofErr w:type="spellEnd"/>
      <w:r w:rsidRPr="00B31E68">
        <w:rPr>
          <w:rFonts w:ascii="Times New Roman" w:hAnsi="Times New Roman" w:cs="Times New Roman"/>
          <w:sz w:val="20"/>
          <w:szCs w:val="20"/>
        </w:rPr>
        <w:t xml:space="preserve"> seksualnych u dzieci przed okresem dojrzewania, np. zachowania odtwórcze, </w:t>
      </w:r>
      <w:r w:rsidR="001E3758" w:rsidRPr="00B31E68">
        <w:rPr>
          <w:rFonts w:ascii="Times New Roman" w:hAnsi="Times New Roman" w:cs="Times New Roman"/>
          <w:sz w:val="20"/>
          <w:szCs w:val="20"/>
        </w:rPr>
        <w:br/>
      </w:r>
      <w:r w:rsidRPr="00B31E68">
        <w:rPr>
          <w:rFonts w:ascii="Times New Roman" w:hAnsi="Times New Roman" w:cs="Times New Roman"/>
          <w:sz w:val="20"/>
          <w:szCs w:val="20"/>
        </w:rPr>
        <w:t>w tym kontakt ustno-genitalny z innym dzieckiem lub lalką, dotykanie lub proszenie o dotykanie okolic narządów płciowych, wkładanie lub próba włożenia przedmiotu, palca lub penisa do pochwy lub odbytu innego dziecka.</w:t>
      </w:r>
    </w:p>
    <w:p w14:paraId="5F359E9D" w14:textId="77777777" w:rsidR="00AE0676" w:rsidRPr="00B31E68" w:rsidRDefault="00AE0676" w:rsidP="00B31E6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Niechęć do przebierania się w towarzystwie innych.</w:t>
      </w:r>
    </w:p>
    <w:p w14:paraId="2712D6D6" w14:textId="03F4D68E" w:rsidR="00AE0676" w:rsidRPr="00B31E68" w:rsidRDefault="00AE0676" w:rsidP="00B31E68">
      <w:pPr>
        <w:jc w:val="both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Samookaleczanie się.</w:t>
      </w:r>
    </w:p>
    <w:p w14:paraId="6ADC6700" w14:textId="77777777" w:rsidR="00AE0676" w:rsidRPr="00B31E68" w:rsidRDefault="00AE0676" w:rsidP="00AE0676">
      <w:pPr>
        <w:rPr>
          <w:rFonts w:ascii="Times New Roman" w:hAnsi="Times New Roman" w:cs="Times New Roman"/>
          <w:sz w:val="20"/>
          <w:szCs w:val="20"/>
        </w:rPr>
      </w:pPr>
    </w:p>
    <w:p w14:paraId="18C89581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31E68">
        <w:rPr>
          <w:rFonts w:ascii="Times New Roman" w:hAnsi="Times New Roman" w:cs="Times New Roman"/>
          <w:b/>
          <w:bCs/>
          <w:sz w:val="20"/>
          <w:szCs w:val="20"/>
          <w:u w:val="single"/>
        </w:rPr>
        <w:t>Na jakie zachowania ZE STRONY RODZICA/OPIEKUNA warto zwrócić uwagę:</w:t>
      </w:r>
    </w:p>
    <w:p w14:paraId="621C2D75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Nie potrafi wyjaśnić mechanizmu urazu, podaje informacje nieadekwatne, niespójne lub sprzeczne.</w:t>
      </w:r>
    </w:p>
    <w:p w14:paraId="6E08D929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Zmienia wyjaśnienia co do okoliczności powstania urazu.</w:t>
      </w:r>
    </w:p>
    <w:p w14:paraId="647FFD2B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Zgłasza się po dłuższym czasie od pojawienia się objawów u dziecka.</w:t>
      </w:r>
    </w:p>
    <w:p w14:paraId="1D203D74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Przypisuje odpowiedzialność za powstanie urazu osobie trzeciej.</w:t>
      </w:r>
    </w:p>
    <w:p w14:paraId="78E25504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Wykazuje brak (lub nadmierne) zainteresowanie urazem/stanem dziecka.</w:t>
      </w:r>
    </w:p>
    <w:p w14:paraId="1DE47E67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Nie reaguje na płacz, ból dziecka, nie okazuje emocji podczas opowiadania o dziecku.</w:t>
      </w:r>
    </w:p>
    <w:p w14:paraId="61D20A4F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Jest emocjonalnie niedostępny, nie reaguje na obecność dziecka, a w szczególności niemowlęcia.</w:t>
      </w:r>
    </w:p>
    <w:p w14:paraId="51E2712F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Ma negatywne lub wrogie nastawienie do dziecka, odrzuca je lub robi z niego kozła ofiarnego.</w:t>
      </w:r>
    </w:p>
    <w:p w14:paraId="771CF4E8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Ma niewłaściwe rozwojowo oczekiwania lub interakcje z dzieckiem.</w:t>
      </w:r>
    </w:p>
    <w:p w14:paraId="2CEC6A82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Stosuje groźby, surową dyscyplinę, w tym kary fizyczne.</w:t>
      </w:r>
    </w:p>
    <w:p w14:paraId="268D0D06" w14:textId="50874E05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Wykorzystuje dziecko do zaspokajania potrzeb osoby dorosłej (np. poprzez angażowanie w spory między opiekunami, czy stawianie w roli opiekuna i powiernika osoby dorosłej).</w:t>
      </w:r>
    </w:p>
    <w:p w14:paraId="126ED74E" w14:textId="22A0CBF9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lastRenderedPageBreak/>
        <w:t xml:space="preserve">• Nie zapewnia odpowiedniej socjalizacji dziecka (np. angażuje dziecko w działania niezgodne </w:t>
      </w:r>
      <w:r w:rsidR="001E3758" w:rsidRPr="00B31E68">
        <w:rPr>
          <w:rFonts w:ascii="Times New Roman" w:hAnsi="Times New Roman" w:cs="Times New Roman"/>
          <w:sz w:val="20"/>
          <w:szCs w:val="20"/>
        </w:rPr>
        <w:br/>
      </w:r>
      <w:r w:rsidRPr="00B31E68">
        <w:rPr>
          <w:rFonts w:ascii="Times New Roman" w:hAnsi="Times New Roman" w:cs="Times New Roman"/>
          <w:sz w:val="20"/>
          <w:szCs w:val="20"/>
        </w:rPr>
        <w:t>z prawem, nie dostarcza odpowiedniej stymulacji lub edukacji).</w:t>
      </w:r>
    </w:p>
    <w:p w14:paraId="41467D03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Przejawia nadopiekuńczość wobec dziecka, izoluje je od rówieśników.</w:t>
      </w:r>
    </w:p>
    <w:p w14:paraId="4836C657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Przekracza dopuszczalne granice w kontakcie fizycznym, np. podczas zabawy z dzieckiem.</w:t>
      </w:r>
    </w:p>
    <w:p w14:paraId="7863C0CF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Jest bezradny życiowo, niezaradny, lub w stanie zdrowia uniemożliwiającym zadbanie o potrzeby dziecka.</w:t>
      </w:r>
    </w:p>
    <w:p w14:paraId="25E8B0CC" w14:textId="7777777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Nadużywa alkoholu i środków psychoaktywnych.</w:t>
      </w:r>
    </w:p>
    <w:p w14:paraId="52305E71" w14:textId="6AD355A7" w:rsidR="00AE0676" w:rsidRPr="00B31E68" w:rsidRDefault="00AE0676" w:rsidP="001E3758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31E68">
        <w:rPr>
          <w:rFonts w:ascii="Times New Roman" w:hAnsi="Times New Roman" w:cs="Times New Roman"/>
          <w:sz w:val="20"/>
          <w:szCs w:val="20"/>
        </w:rPr>
        <w:t>• Stosuje przemoc wobec innych członków rodziny.</w:t>
      </w:r>
    </w:p>
    <w:sectPr w:rsidR="00AE0676" w:rsidRPr="00B31E6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66659" w14:textId="77777777" w:rsidR="00873690" w:rsidRDefault="00873690" w:rsidP="001E3758">
      <w:pPr>
        <w:spacing w:after="0" w:line="240" w:lineRule="auto"/>
      </w:pPr>
      <w:r>
        <w:separator/>
      </w:r>
    </w:p>
  </w:endnote>
  <w:endnote w:type="continuationSeparator" w:id="0">
    <w:p w14:paraId="7B0DFF9B" w14:textId="77777777" w:rsidR="00873690" w:rsidRDefault="00873690" w:rsidP="001E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9031627"/>
      <w:docPartObj>
        <w:docPartGallery w:val="Page Numbers (Bottom of Page)"/>
        <w:docPartUnique/>
      </w:docPartObj>
    </w:sdtPr>
    <w:sdtEndPr/>
    <w:sdtContent>
      <w:p w14:paraId="5A996AAA" w14:textId="2828B171" w:rsidR="001E3758" w:rsidRDefault="001E37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6A104B" w14:textId="77777777" w:rsidR="001E3758" w:rsidRDefault="001E37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B9394" w14:textId="77777777" w:rsidR="00873690" w:rsidRDefault="00873690" w:rsidP="001E3758">
      <w:pPr>
        <w:spacing w:after="0" w:line="240" w:lineRule="auto"/>
      </w:pPr>
      <w:r>
        <w:separator/>
      </w:r>
    </w:p>
  </w:footnote>
  <w:footnote w:type="continuationSeparator" w:id="0">
    <w:p w14:paraId="0939CD38" w14:textId="77777777" w:rsidR="00873690" w:rsidRDefault="00873690" w:rsidP="001E37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676"/>
    <w:rsid w:val="001E3758"/>
    <w:rsid w:val="005A07D3"/>
    <w:rsid w:val="00873690"/>
    <w:rsid w:val="009F52E8"/>
    <w:rsid w:val="00AE0676"/>
    <w:rsid w:val="00B02D18"/>
    <w:rsid w:val="00B31E68"/>
    <w:rsid w:val="00BB2C4D"/>
    <w:rsid w:val="00C4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AA8DF"/>
  <w15:chartTrackingRefBased/>
  <w15:docId w15:val="{715F6DE5-4AD7-4CE2-8F38-87B785EA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3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758"/>
  </w:style>
  <w:style w:type="paragraph" w:styleId="Stopka">
    <w:name w:val="footer"/>
    <w:basedOn w:val="Normalny"/>
    <w:link w:val="StopkaZnak"/>
    <w:uiPriority w:val="99"/>
    <w:unhideWhenUsed/>
    <w:rsid w:val="001E3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Marcelina Zaniewska</dc:creator>
  <cp:keywords/>
  <dc:description/>
  <cp:lastModifiedBy>Nauczyciel</cp:lastModifiedBy>
  <cp:revision>2</cp:revision>
  <dcterms:created xsi:type="dcterms:W3CDTF">2024-09-12T07:42:00Z</dcterms:created>
  <dcterms:modified xsi:type="dcterms:W3CDTF">2024-09-12T07:42:00Z</dcterms:modified>
</cp:coreProperties>
</file>